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283DD643" w:rsidR="002D2410" w:rsidRDefault="002D2410" w:rsidP="00956D31">
      <w:pPr>
        <w:pStyle w:val="Zkladnodstavec"/>
        <w:spacing w:after="24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8F44B5">
        <w:rPr>
          <w:rFonts w:ascii="Arial" w:hAnsi="Arial" w:cs="Arial"/>
          <w:b/>
          <w:bCs/>
          <w:color w:val="2F5496" w:themeColor="accent1" w:themeShade="BF"/>
          <w:sz w:val="44"/>
          <w:szCs w:val="44"/>
        </w:rPr>
        <w:t>5</w:t>
      </w:r>
    </w:p>
    <w:p w14:paraId="386CF54D" w14:textId="5444CC79" w:rsidR="002D2410" w:rsidRDefault="002D2410" w:rsidP="00956D31">
      <w:pPr>
        <w:pStyle w:val="Zkladnodstavec"/>
        <w:spacing w:after="24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w:t>
      </w:r>
      <w:r w:rsidR="008F44B5">
        <w:rPr>
          <w:rFonts w:ascii="Arial" w:hAnsi="Arial" w:cs="Arial"/>
          <w:b/>
          <w:bCs/>
          <w:color w:val="2F5496" w:themeColor="accent1" w:themeShade="BF"/>
          <w:sz w:val="44"/>
          <w:szCs w:val="44"/>
        </w:rPr>
        <w:t> </w:t>
      </w:r>
      <w:r w:rsidRPr="001A71B9">
        <w:rPr>
          <w:rFonts w:ascii="Arial" w:hAnsi="Arial" w:cs="Arial"/>
          <w:b/>
          <w:bCs/>
          <w:color w:val="2F5496" w:themeColor="accent1" w:themeShade="BF"/>
          <w:sz w:val="44"/>
          <w:szCs w:val="44"/>
        </w:rPr>
        <w:t>OBTÍŽÍCH</w:t>
      </w:r>
    </w:p>
    <w:p w14:paraId="4B69FBCF" w14:textId="77777777" w:rsidR="00956D31" w:rsidRPr="00956D31" w:rsidRDefault="00956D31" w:rsidP="00956D31">
      <w:pPr>
        <w:spacing w:after="0" w:line="288" w:lineRule="auto"/>
        <w:jc w:val="center"/>
        <w:rPr>
          <w:rFonts w:ascii="Arial" w:eastAsia="MS Mincho" w:hAnsi="Arial" w:cs="Arial"/>
          <w:caps/>
          <w:color w:val="000000"/>
          <w:sz w:val="36"/>
          <w:szCs w:val="36"/>
          <w:lang w:eastAsia="ja-JP"/>
        </w:rPr>
      </w:pPr>
      <w:r w:rsidRPr="00956D31">
        <w:rPr>
          <w:rFonts w:ascii="Arial" w:eastAsia="MS Mincho" w:hAnsi="Arial" w:cs="Arial"/>
          <w:caps/>
          <w:color w:val="000000"/>
          <w:sz w:val="36"/>
          <w:szCs w:val="36"/>
          <w:lang w:eastAsia="ja-JP"/>
        </w:rPr>
        <w:t>78. VÝZVA IROP – eHEALTH – SC 1.1 (MRR)</w:t>
      </w:r>
    </w:p>
    <w:p w14:paraId="3BEE105D" w14:textId="77777777" w:rsidR="00956D31" w:rsidRPr="00956D31" w:rsidRDefault="00956D31" w:rsidP="00956D31">
      <w:pPr>
        <w:spacing w:after="0" w:line="288" w:lineRule="auto"/>
        <w:jc w:val="center"/>
        <w:rPr>
          <w:rFonts w:ascii="Arial" w:eastAsia="MS Mincho" w:hAnsi="Arial" w:cs="Arial"/>
          <w:caps/>
          <w:color w:val="000000"/>
          <w:sz w:val="36"/>
          <w:szCs w:val="36"/>
          <w:lang w:eastAsia="ja-JP"/>
        </w:rPr>
      </w:pPr>
      <w:r w:rsidRPr="00956D31">
        <w:rPr>
          <w:rFonts w:ascii="Arial" w:eastAsia="MS Mincho" w:hAnsi="Arial" w:cs="Arial"/>
          <w:caps/>
          <w:color w:val="000000"/>
          <w:sz w:val="36"/>
          <w:szCs w:val="36"/>
          <w:lang w:eastAsia="ja-JP"/>
        </w:rPr>
        <w:t>79. VÝZVA IROP – eHEALTH – SC 1.1 (PR)</w:t>
      </w:r>
    </w:p>
    <w:p w14:paraId="382934F4" w14:textId="36F6834C" w:rsidR="008F44B5" w:rsidRPr="009F2750" w:rsidRDefault="00956D31" w:rsidP="00956D31">
      <w:pPr>
        <w:spacing w:after="240" w:line="288" w:lineRule="auto"/>
        <w:jc w:val="center"/>
        <w:rPr>
          <w:rFonts w:ascii="Arial" w:eastAsia="MS Mincho" w:hAnsi="Arial" w:cs="Arial"/>
          <w:caps/>
          <w:color w:val="000000"/>
          <w:sz w:val="36"/>
          <w:szCs w:val="36"/>
          <w:lang w:eastAsia="ja-JP"/>
        </w:rPr>
      </w:pPr>
      <w:r w:rsidRPr="00956D31">
        <w:rPr>
          <w:rFonts w:ascii="Arial" w:eastAsia="MS Mincho" w:hAnsi="Arial" w:cs="Arial"/>
          <w:caps/>
          <w:color w:val="000000"/>
          <w:sz w:val="36"/>
          <w:szCs w:val="36"/>
          <w:lang w:eastAsia="ja-JP"/>
        </w:rPr>
        <w:t>80. VÝZVA IROP – eHEALTH – SC 1.1 (ČR)</w:t>
      </w:r>
    </w:p>
    <w:p w14:paraId="1FE147E3" w14:textId="77777777" w:rsidR="008F44B5" w:rsidRDefault="008F44B5" w:rsidP="008F44B5">
      <w:pPr>
        <w:jc w:val="center"/>
        <w:rPr>
          <w:rFonts w:ascii="Arial" w:hAnsi="Arial" w:cs="Arial"/>
          <w:caps/>
          <w:color w:val="7F7F7F" w:themeColor="text1" w:themeTint="80"/>
          <w:sz w:val="32"/>
          <w:szCs w:val="32"/>
        </w:rPr>
        <w:sectPr w:rsidR="008F44B5" w:rsidSect="008F44B5">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2</w:t>
      </w:r>
    </w:p>
    <w:p w14:paraId="72D048A4" w14:textId="632478B8" w:rsidR="007B5414" w:rsidRPr="00FC6F26" w:rsidRDefault="006C0F62" w:rsidP="00D24AD7">
      <w:pPr>
        <w:pStyle w:val="Nadpis1"/>
        <w:numPr>
          <w:ilvl w:val="0"/>
          <w:numId w:val="24"/>
        </w:numPr>
        <w:ind w:left="714" w:hanging="357"/>
        <w:rPr>
          <w:b/>
          <w:bCs/>
        </w:rPr>
      </w:pPr>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956D31">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956D31">
      <w:pPr>
        <w:pStyle w:val="Odstavecseseznamem"/>
        <w:numPr>
          <w:ilvl w:val="0"/>
          <w:numId w:val="5"/>
        </w:numPr>
        <w:spacing w:after="12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956D31">
      <w:pPr>
        <w:pStyle w:val="Odstavecseseznamem"/>
        <w:numPr>
          <w:ilvl w:val="0"/>
          <w:numId w:val="5"/>
        </w:numPr>
        <w:spacing w:after="12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56F65D61" w:rsidR="00BA2EE4" w:rsidRDefault="00311092" w:rsidP="00956D31">
      <w:pPr>
        <w:pStyle w:val="Odstavecseseznamem"/>
        <w:numPr>
          <w:ilvl w:val="0"/>
          <w:numId w:val="5"/>
        </w:numPr>
        <w:spacing w:after="120"/>
        <w:ind w:left="714" w:hanging="357"/>
        <w:contextualSpacing w:val="0"/>
        <w:jc w:val="both"/>
        <w:rPr>
          <w:rFonts w:cstheme="minorHAnsi"/>
        </w:rPr>
      </w:pPr>
      <w:r w:rsidRPr="00311092">
        <w:rPr>
          <w:rFonts w:cstheme="minorHAnsi"/>
        </w:rPr>
        <w:t xml:space="preserve">nařízení Evropského parlamentu a Rady (ES) č. 1370/2007 </w:t>
      </w:r>
      <w:r w:rsidR="007B5414" w:rsidRPr="00AE2F4A">
        <w:rPr>
          <w:rFonts w:cstheme="minorHAnsi"/>
        </w:rPr>
        <w:t>(nařízení o veřejných službách v</w:t>
      </w:r>
      <w:r>
        <w:rPr>
          <w:rFonts w:cstheme="minorHAnsi"/>
        </w:rPr>
        <w:t> </w:t>
      </w:r>
      <w:r w:rsidR="007B5414" w:rsidRPr="00AE2F4A">
        <w:rPr>
          <w:rFonts w:cstheme="minorHAnsi"/>
        </w:rPr>
        <w:t>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956D31">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956D31">
      <w:pPr>
        <w:pStyle w:val="Odstavecseseznamem"/>
        <w:numPr>
          <w:ilvl w:val="0"/>
          <w:numId w:val="7"/>
        </w:numPr>
        <w:spacing w:after="12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956D31">
      <w:pPr>
        <w:pStyle w:val="Odstavecseseznamem"/>
        <w:numPr>
          <w:ilvl w:val="0"/>
          <w:numId w:val="7"/>
        </w:numPr>
        <w:spacing w:after="12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Default="009249E3" w:rsidP="00A170B1">
      <w:pPr>
        <w:spacing w:after="120"/>
        <w:jc w:val="both"/>
        <w:rPr>
          <w:rFonts w:cstheme="minorHAnsi"/>
        </w:rPr>
      </w:pPr>
    </w:p>
    <w:p w14:paraId="1C5A70DA" w14:textId="77777777" w:rsidR="00956D31" w:rsidRDefault="00956D31"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5"/>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r w:rsidRPr="00BB4252">
        <w:rPr>
          <w:rFonts w:cstheme="minorHAnsi"/>
          <w:b/>
          <w:bCs/>
        </w:rPr>
        <w:t xml:space="preserve">doloží ČP </w:t>
      </w:r>
      <w:proofErr w:type="spellStart"/>
      <w:r w:rsidRPr="00BB4252">
        <w:rPr>
          <w:rFonts w:cstheme="minorHAnsi"/>
          <w:b/>
          <w:bCs/>
        </w:rPr>
        <w:t>PvO</w:t>
      </w:r>
      <w:proofErr w:type="spellEnd"/>
      <w:r w:rsidRPr="00BB4252">
        <w:rPr>
          <w:rFonts w:cstheme="minorHAnsi"/>
          <w:b/>
          <w:bCs/>
        </w:rPr>
        <w:t xml:space="preserve">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lastRenderedPageBreak/>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xmlns:w16du="http://schemas.microsoft.com/office/word/2023/wordml/word16du">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doloží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proofErr w:type="gramStart"/>
      <w:r w:rsidRPr="00D346AA">
        <w:rPr>
          <w:rFonts w:cs="Arial"/>
          <w:b/>
          <w:bCs/>
          <w:i/>
          <w:iCs/>
          <w:lang w:eastAsia="cs-CZ"/>
        </w:rPr>
        <w:t>2g</w:t>
      </w:r>
      <w:proofErr w:type="gramEnd"/>
      <w:r w:rsidRPr="00D346AA">
        <w:rPr>
          <w:rFonts w:cs="Arial"/>
          <w:b/>
          <w:bCs/>
          <w:i/>
          <w:iCs/>
          <w:lang w:eastAsia="cs-CZ"/>
        </w:rPr>
        <w:t>)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7"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960442">
        <w:rPr>
          <w:rFonts w:cstheme="minorHAnsi"/>
          <w:b/>
          <w:i/>
          <w:iCs/>
          <w:color w:val="000000" w:themeColor="text1"/>
          <w:lang w:eastAsia="cs-CZ"/>
        </w:rPr>
        <w:t>1b</w:t>
      </w:r>
      <w:proofErr w:type="gramEnd"/>
      <w:r w:rsidRPr="00960442">
        <w:rPr>
          <w:rFonts w:cstheme="minorHAnsi"/>
          <w:b/>
          <w:i/>
          <w:iCs/>
          <w:color w:val="000000" w:themeColor="text1"/>
          <w:lang w:eastAsia="cs-CZ"/>
        </w:rPr>
        <w:t>)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 xml:space="preserve">potřeba rozlišit, zda žadatel o podporu předkládá či nepředkládá ČP </w:t>
      </w:r>
      <w:proofErr w:type="spellStart"/>
      <w:r w:rsidR="004C51F2" w:rsidRPr="45A42706">
        <w:rPr>
          <w:color w:val="000000" w:themeColor="text1"/>
          <w:lang w:eastAsia="cs-CZ"/>
        </w:rPr>
        <w:t>PvO</w:t>
      </w:r>
      <w:proofErr w:type="spellEnd"/>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xml:space="preserve">, některé údaje z listu 1c) se přenáší na list </w:t>
      </w:r>
      <w:proofErr w:type="gramStart"/>
      <w:r w:rsidR="004C51F2" w:rsidRPr="00960442">
        <w:rPr>
          <w:rFonts w:cstheme="minorHAnsi"/>
          <w:color w:val="000000" w:themeColor="text1"/>
          <w:lang w:eastAsia="cs-CZ"/>
        </w:rPr>
        <w:t>1b</w:t>
      </w:r>
      <w:proofErr w:type="gramEnd"/>
      <w:r w:rsidR="004C51F2" w:rsidRPr="00960442">
        <w:rPr>
          <w:rFonts w:cstheme="minorHAnsi"/>
          <w:color w:val="000000" w:themeColor="text1"/>
          <w:lang w:eastAsia="cs-CZ"/>
        </w:rPr>
        <w:t>).</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960442">
        <w:rPr>
          <w:rFonts w:cstheme="minorHAnsi"/>
          <w:b/>
          <w:bCs/>
          <w:i/>
          <w:iCs/>
          <w:color w:val="000000" w:themeColor="text1"/>
          <w:lang w:eastAsia="cs-CZ"/>
        </w:rPr>
        <w:t>3a</w:t>
      </w:r>
      <w:proofErr w:type="gramEnd"/>
      <w:r w:rsidRPr="00960442">
        <w:rPr>
          <w:rFonts w:cstheme="minorHAnsi"/>
          <w:b/>
          <w:bCs/>
          <w:i/>
          <w:iCs/>
          <w:color w:val="000000" w:themeColor="text1"/>
          <w:lang w:eastAsia="cs-CZ"/>
        </w:rPr>
        <w:t>) – Skupina podniků</w:t>
      </w:r>
      <w:r w:rsidRPr="00960442">
        <w:rPr>
          <w:rFonts w:cstheme="minorHAnsi"/>
          <w:color w:val="000000" w:themeColor="text1"/>
          <w:lang w:eastAsia="cs-CZ"/>
        </w:rPr>
        <w:t xml:space="preserve"> – V případě, že žadatel o podporu nedokládá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 xml:space="preserve">2x) - List vlastního </w:t>
      </w:r>
      <w:proofErr w:type="gramStart"/>
      <w:r w:rsidRPr="00394DC9">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3a</w:t>
      </w:r>
      <w:proofErr w:type="gramEnd"/>
      <w:r w:rsidRPr="0085280E">
        <w:rPr>
          <w:rFonts w:cstheme="minorHAnsi"/>
          <w:b/>
          <w:bCs/>
          <w:i/>
          <w:iCs/>
          <w:color w:val="000000" w:themeColor="text1"/>
          <w:lang w:eastAsia="cs-CZ"/>
        </w:rPr>
        <w:t>)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D35E" w14:textId="77777777" w:rsidR="008F44B5" w:rsidRDefault="008F44B5">
    <w:pPr>
      <w:pStyle w:val="Zpat"/>
      <w:jc w:val="right"/>
    </w:pPr>
  </w:p>
  <w:p w14:paraId="0C998F33" w14:textId="77777777" w:rsidR="008F44B5" w:rsidRDefault="008F44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312503"/>
      <w:docPartObj>
        <w:docPartGallery w:val="Page Numbers (Bottom of Page)"/>
        <w:docPartUnique/>
      </w:docPartObj>
    </w:sdtPr>
    <w:sdtEndPr/>
    <w:sdtContent>
      <w:p w14:paraId="1A43BFBF" w14:textId="77777777" w:rsidR="008F44B5" w:rsidRDefault="008F44B5">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341FC4D9" w14:textId="77777777" w:rsidR="008F44B5" w:rsidRDefault="008F44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849273"/>
      <w:docPartObj>
        <w:docPartGallery w:val="Page Numbers (Bottom of Page)"/>
        <w:docPartUnique/>
      </w:docPartObj>
    </w:sdtPr>
    <w:sdtContent>
      <w:sdt>
        <w:sdtPr>
          <w:id w:val="-533261661"/>
          <w:docPartObj>
            <w:docPartGallery w:val="Page Numbers (Top of Page)"/>
            <w:docPartUnique/>
          </w:docPartObj>
        </w:sdtPr>
        <w:sdtContent>
          <w:p w14:paraId="1A67A670" w14:textId="2A841EAB" w:rsidR="00D97DC0" w:rsidRDefault="00D97DC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484332"/>
      <w:docPartObj>
        <w:docPartGallery w:val="Page Numbers (Bottom of Page)"/>
        <w:docPartUnique/>
      </w:docPartObj>
    </w:sdtPr>
    <w:sdtContent>
      <w:sdt>
        <w:sdtPr>
          <w:id w:val="-1769616900"/>
          <w:docPartObj>
            <w:docPartGallery w:val="Page Numbers (Top of Page)"/>
            <w:docPartUnique/>
          </w:docPartObj>
        </w:sdtPr>
        <w:sdtContent>
          <w:p w14:paraId="78A883A0" w14:textId="4D49ED85" w:rsidR="00D97DC0" w:rsidRDefault="00D97DC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27FA" w14:textId="77777777" w:rsidR="008F44B5" w:rsidRDefault="008F44B5" w:rsidP="008A17FD">
    <w:pPr>
      <w:pStyle w:val="Zhlav"/>
      <w:jc w:val="center"/>
    </w:pPr>
  </w:p>
  <w:p w14:paraId="31098613" w14:textId="77777777" w:rsidR="008F44B5" w:rsidRDefault="008F44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DDE3" w14:textId="4E68DEF2" w:rsidR="008F44B5" w:rsidRDefault="008F44B5" w:rsidP="008C64C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E0797"/>
    <w:rsid w:val="000E0EAC"/>
    <w:rsid w:val="000E36B0"/>
    <w:rsid w:val="000E42D3"/>
    <w:rsid w:val="000F089F"/>
    <w:rsid w:val="000F1B81"/>
    <w:rsid w:val="000F2574"/>
    <w:rsid w:val="000F4517"/>
    <w:rsid w:val="000F6EA8"/>
    <w:rsid w:val="000F7CD5"/>
    <w:rsid w:val="00100B1B"/>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1F97"/>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1092"/>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3E72"/>
    <w:rsid w:val="003E44DD"/>
    <w:rsid w:val="003F4B13"/>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308A9"/>
    <w:rsid w:val="006324F5"/>
    <w:rsid w:val="00633213"/>
    <w:rsid w:val="00635E4C"/>
    <w:rsid w:val="00636BDA"/>
    <w:rsid w:val="00644292"/>
    <w:rsid w:val="00644E26"/>
    <w:rsid w:val="00650E7D"/>
    <w:rsid w:val="006569A4"/>
    <w:rsid w:val="00666504"/>
    <w:rsid w:val="00686A33"/>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4B5"/>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56D31"/>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0803"/>
    <w:rsid w:val="009C2117"/>
    <w:rsid w:val="009C24BB"/>
    <w:rsid w:val="009C2D10"/>
    <w:rsid w:val="009C49D2"/>
    <w:rsid w:val="009C5538"/>
    <w:rsid w:val="009D02B3"/>
    <w:rsid w:val="009D6505"/>
    <w:rsid w:val="009D785E"/>
    <w:rsid w:val="009E3D22"/>
    <w:rsid w:val="009F1C81"/>
    <w:rsid w:val="009F2750"/>
    <w:rsid w:val="009F59A2"/>
    <w:rsid w:val="00A02067"/>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2B7C"/>
    <w:rsid w:val="00AC3CB8"/>
    <w:rsid w:val="00AC4B8B"/>
    <w:rsid w:val="00AD09E3"/>
    <w:rsid w:val="00AD3064"/>
    <w:rsid w:val="00AD5D96"/>
    <w:rsid w:val="00AD5FDF"/>
    <w:rsid w:val="00AD6A04"/>
    <w:rsid w:val="00AE0F36"/>
    <w:rsid w:val="00AE2F4A"/>
    <w:rsid w:val="00AE3185"/>
    <w:rsid w:val="00AE3F2C"/>
    <w:rsid w:val="00AF024F"/>
    <w:rsid w:val="00AF5D47"/>
    <w:rsid w:val="00AF6B94"/>
    <w:rsid w:val="00AF6D6A"/>
    <w:rsid w:val="00B01809"/>
    <w:rsid w:val="00B01F46"/>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CF5082"/>
    <w:rsid w:val="00D029AA"/>
    <w:rsid w:val="00D02DC4"/>
    <w:rsid w:val="00D1041C"/>
    <w:rsid w:val="00D1178E"/>
    <w:rsid w:val="00D15BED"/>
    <w:rsid w:val="00D21BA2"/>
    <w:rsid w:val="00D2397D"/>
    <w:rsid w:val="00D23C1E"/>
    <w:rsid w:val="00D24AD7"/>
    <w:rsid w:val="00D25CB7"/>
    <w:rsid w:val="00D315C2"/>
    <w:rsid w:val="00D34456"/>
    <w:rsid w:val="00D34631"/>
    <w:rsid w:val="00D346AA"/>
    <w:rsid w:val="00D34708"/>
    <w:rsid w:val="00D537BA"/>
    <w:rsid w:val="00D620EE"/>
    <w:rsid w:val="00D63099"/>
    <w:rsid w:val="00D63E9A"/>
    <w:rsid w:val="00D678A4"/>
    <w:rsid w:val="00D70F49"/>
    <w:rsid w:val="00D747B4"/>
    <w:rsid w:val="00D76A21"/>
    <w:rsid w:val="00D77D31"/>
    <w:rsid w:val="00D8471C"/>
    <w:rsid w:val="00D876DA"/>
    <w:rsid w:val="00D90E85"/>
    <w:rsid w:val="00D9238A"/>
    <w:rsid w:val="00D97DC0"/>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593F"/>
    <w:rsid w:val="00EA5CB6"/>
    <w:rsid w:val="00EA661D"/>
    <w:rsid w:val="00EA7641"/>
    <w:rsid w:val="00EA7CAE"/>
    <w:rsid w:val="00EB2F18"/>
    <w:rsid w:val="00EB4622"/>
    <w:rsid w:val="00EB60DB"/>
    <w:rsid w:val="00EB7693"/>
    <w:rsid w:val="00EC2DA9"/>
    <w:rsid w:val="00EC2E85"/>
    <w:rsid w:val="00EC6E51"/>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6853</Words>
  <Characters>40438</Characters>
  <Application>Microsoft Office Word</Application>
  <DocSecurity>0</DocSecurity>
  <Lines>336</Lines>
  <Paragraphs>94</Paragraphs>
  <ScaleCrop>false</ScaleCrop>
  <Company>Ministerstvo pro místní rozvoj</Company>
  <LinksUpToDate>false</LinksUpToDate>
  <CharactersWithSpaces>47197</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Jan Mazanik</cp:lastModifiedBy>
  <cp:revision>6</cp:revision>
  <cp:lastPrinted>2023-03-16T08:50:00Z</cp:lastPrinted>
  <dcterms:created xsi:type="dcterms:W3CDTF">2024-11-20T09:20:00Z</dcterms:created>
  <dcterms:modified xsi:type="dcterms:W3CDTF">2024-12-09T11:57:00Z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